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9B" w:rsidRDefault="00495305" w:rsidP="0049530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95305">
        <w:rPr>
          <w:rFonts w:ascii="標楷體" w:eastAsia="標楷體" w:hAnsi="標楷體" w:hint="eastAsia"/>
          <w:b/>
          <w:sz w:val="28"/>
          <w:szCs w:val="28"/>
        </w:rPr>
        <w:t>臺灣嘉義地方檢察署</w:t>
      </w:r>
      <w:r w:rsidR="00F4346E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3524F2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bookmarkStart w:id="0" w:name="_GoBack"/>
      <w:bookmarkEnd w:id="0"/>
      <w:r w:rsidRPr="00495305">
        <w:rPr>
          <w:rFonts w:ascii="標楷體" w:eastAsia="標楷體" w:hAnsi="標楷體" w:hint="eastAsia"/>
          <w:b/>
          <w:sz w:val="28"/>
          <w:szCs w:val="28"/>
        </w:rPr>
        <w:t>年度犯罪被害補償事件殯葬費項目金額參考表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494"/>
        <w:gridCol w:w="1576"/>
        <w:gridCol w:w="3821"/>
        <w:gridCol w:w="4513"/>
        <w:gridCol w:w="805"/>
      </w:tblGrid>
      <w:tr w:rsidR="00495305" w:rsidTr="00495305">
        <w:trPr>
          <w:trHeight w:val="454"/>
        </w:trPr>
        <w:tc>
          <w:tcPr>
            <w:tcW w:w="737" w:type="dxa"/>
          </w:tcPr>
          <w:p w:rsidR="00495305" w:rsidRPr="00495305" w:rsidRDefault="00495305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30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494" w:type="dxa"/>
          </w:tcPr>
          <w:p w:rsidR="00495305" w:rsidRPr="00495305" w:rsidRDefault="00495305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30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576" w:type="dxa"/>
          </w:tcPr>
          <w:p w:rsidR="00495305" w:rsidRPr="00495305" w:rsidRDefault="00495305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305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3821" w:type="dxa"/>
          </w:tcPr>
          <w:p w:rsidR="00495305" w:rsidRPr="00495305" w:rsidRDefault="00495305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305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513" w:type="dxa"/>
          </w:tcPr>
          <w:p w:rsidR="00495305" w:rsidRPr="00495305" w:rsidRDefault="00495305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305">
              <w:rPr>
                <w:rFonts w:ascii="標楷體" w:eastAsia="標楷體" w:hAnsi="標楷體" w:hint="eastAsia"/>
                <w:szCs w:val="24"/>
              </w:rPr>
              <w:t>參考標準</w:t>
            </w:r>
          </w:p>
        </w:tc>
        <w:tc>
          <w:tcPr>
            <w:tcW w:w="805" w:type="dxa"/>
          </w:tcPr>
          <w:p w:rsidR="00495305" w:rsidRPr="00495305" w:rsidRDefault="00495305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530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95305" w:rsidTr="00495305">
        <w:trPr>
          <w:trHeight w:val="454"/>
        </w:trPr>
        <w:tc>
          <w:tcPr>
            <w:tcW w:w="737" w:type="dxa"/>
          </w:tcPr>
          <w:p w:rsidR="00495305" w:rsidRPr="00495305" w:rsidRDefault="00495305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94" w:type="dxa"/>
          </w:tcPr>
          <w:p w:rsidR="00495305" w:rsidRPr="00495305" w:rsidRDefault="00495305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禮堂使用費</w:t>
            </w:r>
          </w:p>
        </w:tc>
        <w:tc>
          <w:tcPr>
            <w:tcW w:w="1576" w:type="dxa"/>
          </w:tcPr>
          <w:p w:rsidR="00495305" w:rsidRPr="00495305" w:rsidRDefault="00495305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1800</w:t>
            </w:r>
          </w:p>
        </w:tc>
        <w:tc>
          <w:tcPr>
            <w:tcW w:w="3821" w:type="dxa"/>
          </w:tcPr>
          <w:p w:rsidR="00495305" w:rsidRPr="00495305" w:rsidRDefault="00495305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丙級平日每小時600元，以3小時計</w:t>
            </w:r>
          </w:p>
        </w:tc>
        <w:tc>
          <w:tcPr>
            <w:tcW w:w="4513" w:type="dxa"/>
          </w:tcPr>
          <w:p w:rsidR="00495305" w:rsidRPr="00495305" w:rsidRDefault="00495305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495305" w:rsidRPr="00495305" w:rsidRDefault="00495305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5305" w:rsidTr="00495305">
        <w:trPr>
          <w:trHeight w:val="454"/>
        </w:trPr>
        <w:tc>
          <w:tcPr>
            <w:tcW w:w="737" w:type="dxa"/>
          </w:tcPr>
          <w:p w:rsidR="00495305" w:rsidRDefault="00495305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94" w:type="dxa"/>
          </w:tcPr>
          <w:p w:rsidR="00495305" w:rsidRDefault="00495305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禮堂冷氣費</w:t>
            </w:r>
          </w:p>
        </w:tc>
        <w:tc>
          <w:tcPr>
            <w:tcW w:w="1576" w:type="dxa"/>
          </w:tcPr>
          <w:p w:rsidR="00495305" w:rsidRDefault="00495305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900</w:t>
            </w:r>
          </w:p>
        </w:tc>
        <w:tc>
          <w:tcPr>
            <w:tcW w:w="3821" w:type="dxa"/>
          </w:tcPr>
          <w:p w:rsidR="00495305" w:rsidRPr="00495305" w:rsidRDefault="00495305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丙級平日每小時</w:t>
            </w:r>
            <w:r w:rsidR="00867F0F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00元，以3小時計</w:t>
            </w:r>
          </w:p>
        </w:tc>
        <w:tc>
          <w:tcPr>
            <w:tcW w:w="4513" w:type="dxa"/>
          </w:tcPr>
          <w:p w:rsidR="00495305" w:rsidRPr="00495305" w:rsidRDefault="00495305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495305" w:rsidRPr="00495305" w:rsidRDefault="00495305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5305" w:rsidTr="00495305">
        <w:trPr>
          <w:trHeight w:val="454"/>
        </w:trPr>
        <w:tc>
          <w:tcPr>
            <w:tcW w:w="737" w:type="dxa"/>
          </w:tcPr>
          <w:p w:rsidR="00495305" w:rsidRDefault="00495305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94" w:type="dxa"/>
          </w:tcPr>
          <w:p w:rsidR="00495305" w:rsidRDefault="00495305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禮堂善後處理費</w:t>
            </w:r>
          </w:p>
        </w:tc>
        <w:tc>
          <w:tcPr>
            <w:tcW w:w="1576" w:type="dxa"/>
          </w:tcPr>
          <w:p w:rsidR="00495305" w:rsidRDefault="00495305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3821" w:type="dxa"/>
          </w:tcPr>
          <w:p w:rsidR="00495305" w:rsidRDefault="00495305" w:rsidP="00CB5A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495305" w:rsidRDefault="00495305" w:rsidP="00CB5A8F">
            <w:pPr>
              <w:rPr>
                <w:rFonts w:ascii="標楷體" w:eastAsia="標楷體" w:hAnsi="標楷體"/>
                <w:szCs w:val="24"/>
              </w:rPr>
            </w:pPr>
            <w:r w:rsidRPr="00495305"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495305" w:rsidRPr="00495305" w:rsidRDefault="00495305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遺體接運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2500</w:t>
            </w:r>
          </w:p>
        </w:tc>
        <w:tc>
          <w:tcPr>
            <w:tcW w:w="3821" w:type="dxa"/>
          </w:tcPr>
          <w:p w:rsidR="00CB5A8F" w:rsidRDefault="00CB5A8F" w:rsidP="00CB5A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市價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遺體防腐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3821" w:type="dxa"/>
          </w:tcPr>
          <w:p w:rsidR="00CB5A8F" w:rsidRDefault="00CB5A8F" w:rsidP="00CB5A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遺體冷藏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5600</w:t>
            </w:r>
          </w:p>
        </w:tc>
        <w:tc>
          <w:tcPr>
            <w:tcW w:w="3821" w:type="dxa"/>
          </w:tcPr>
          <w:p w:rsidR="00CB5A8F" w:rsidRDefault="00CB5A8F" w:rsidP="00024A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每日400元，以14日計</w:t>
            </w: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遺體寄存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3821" w:type="dxa"/>
          </w:tcPr>
          <w:p w:rsidR="00CB5A8F" w:rsidRDefault="00CB5A8F" w:rsidP="00024AF3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每日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B5A8F">
              <w:rPr>
                <w:rFonts w:ascii="標楷體" w:eastAsia="標楷體" w:hAnsi="標楷體" w:hint="eastAsia"/>
                <w:szCs w:val="24"/>
              </w:rPr>
              <w:t>00元，以</w:t>
            </w:r>
            <w:r w:rsidR="00867F0F">
              <w:rPr>
                <w:rFonts w:ascii="標楷體" w:eastAsia="標楷體" w:hAnsi="標楷體" w:hint="eastAsia"/>
                <w:szCs w:val="24"/>
              </w:rPr>
              <w:t>1</w:t>
            </w:r>
            <w:r w:rsidRPr="00CB5A8F">
              <w:rPr>
                <w:rFonts w:ascii="標楷體" w:eastAsia="標楷體" w:hAnsi="標楷體" w:hint="eastAsia"/>
                <w:szCs w:val="24"/>
              </w:rPr>
              <w:t>日計</w:t>
            </w: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遺體洗身</w:t>
            </w:r>
            <w:proofErr w:type="gramEnd"/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遺體縫補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遺體化妝 (含理髮)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遺體著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裝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壽衣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市價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遺體大殮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14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棺內用品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市價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靈車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P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扶工、扛工</w:t>
            </w:r>
            <w:proofErr w:type="gramEnd"/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引靈安魂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Pr="00495305" w:rsidRDefault="00CB5A8F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市價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靈堂布置 (含鮮花)及司儀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儀像</w:t>
            </w:r>
            <w:proofErr w:type="gramEnd"/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CB5A8F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市價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誦經或講道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(麻)孝服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紙錢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CB5A8F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法務部標準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2494" w:type="dxa"/>
          </w:tcPr>
          <w:p w:rsidR="00CB5A8F" w:rsidRDefault="00CB5A8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祭品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CB5A8F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市價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2494" w:type="dxa"/>
          </w:tcPr>
          <w:p w:rsidR="00CB5A8F" w:rsidRDefault="00024AF3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訃聞</w:t>
            </w:r>
          </w:p>
        </w:tc>
        <w:tc>
          <w:tcPr>
            <w:tcW w:w="1576" w:type="dxa"/>
          </w:tcPr>
          <w:p w:rsidR="00CB5A8F" w:rsidRDefault="00024AF3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  <w:tc>
          <w:tcPr>
            <w:tcW w:w="3821" w:type="dxa"/>
          </w:tcPr>
          <w:p w:rsidR="00CB5A8F" w:rsidRDefault="00024AF3" w:rsidP="00024A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以100份計</w:t>
            </w:r>
          </w:p>
        </w:tc>
        <w:tc>
          <w:tcPr>
            <w:tcW w:w="4513" w:type="dxa"/>
          </w:tcPr>
          <w:p w:rsidR="00CB5A8F" w:rsidRDefault="00CB5A8F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市價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494" w:type="dxa"/>
          </w:tcPr>
          <w:p w:rsidR="00CB5A8F" w:rsidRDefault="00024AF3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告別式樂隊</w:t>
            </w:r>
          </w:p>
        </w:tc>
        <w:tc>
          <w:tcPr>
            <w:tcW w:w="1576" w:type="dxa"/>
          </w:tcPr>
          <w:p w:rsidR="00CB5A8F" w:rsidRDefault="00024AF3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3821" w:type="dxa"/>
          </w:tcPr>
          <w:p w:rsidR="00CB5A8F" w:rsidRDefault="00CB5A8F" w:rsidP="00024A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024AF3" w:rsidP="00CB5A8F">
            <w:pPr>
              <w:rPr>
                <w:rFonts w:ascii="標楷體" w:eastAsia="標楷體" w:hAnsi="標楷體"/>
                <w:szCs w:val="24"/>
              </w:rPr>
            </w:pPr>
            <w:r w:rsidRPr="00024AF3">
              <w:rPr>
                <w:rFonts w:ascii="標楷體" w:eastAsia="標楷體" w:hAnsi="標楷體" w:hint="eastAsia"/>
                <w:szCs w:val="24"/>
              </w:rPr>
              <w:t>法務部標準、強制險標準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2494" w:type="dxa"/>
          </w:tcPr>
          <w:p w:rsidR="00CB5A8F" w:rsidRDefault="00024AF3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毛巾</w:t>
            </w:r>
          </w:p>
        </w:tc>
        <w:tc>
          <w:tcPr>
            <w:tcW w:w="1576" w:type="dxa"/>
          </w:tcPr>
          <w:p w:rsidR="00CB5A8F" w:rsidRDefault="00024AF3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3821" w:type="dxa"/>
          </w:tcPr>
          <w:p w:rsidR="00CB5A8F" w:rsidRDefault="00024AF3" w:rsidP="00024A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每條50元，以100份計</w:t>
            </w:r>
          </w:p>
        </w:tc>
        <w:tc>
          <w:tcPr>
            <w:tcW w:w="4513" w:type="dxa"/>
          </w:tcPr>
          <w:p w:rsidR="00CB5A8F" w:rsidRDefault="00024AF3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市價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494" w:type="dxa"/>
          </w:tcPr>
          <w:p w:rsidR="00CB5A8F" w:rsidRDefault="00024AF3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火葬費</w:t>
            </w:r>
          </w:p>
        </w:tc>
        <w:tc>
          <w:tcPr>
            <w:tcW w:w="1576" w:type="dxa"/>
          </w:tcPr>
          <w:p w:rsidR="00CB5A8F" w:rsidRDefault="00024AF3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024AF3" w:rsidP="00CB5A8F">
            <w:pPr>
              <w:rPr>
                <w:rFonts w:ascii="標楷體" w:eastAsia="標楷體" w:hAnsi="標楷體"/>
                <w:szCs w:val="24"/>
              </w:rPr>
            </w:pPr>
            <w:r w:rsidRPr="00024AF3">
              <w:rPr>
                <w:rFonts w:ascii="標楷體" w:eastAsia="標楷體" w:hAnsi="標楷體" w:hint="eastAsia"/>
                <w:szCs w:val="24"/>
              </w:rPr>
              <w:t>法務部標準、強制險標準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28</w:t>
            </w:r>
          </w:p>
        </w:tc>
        <w:tc>
          <w:tcPr>
            <w:tcW w:w="2494" w:type="dxa"/>
          </w:tcPr>
          <w:p w:rsidR="00CB5A8F" w:rsidRDefault="00867F0F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骨灰罐</w:t>
            </w:r>
            <w:r w:rsidR="00024AF3">
              <w:rPr>
                <w:rFonts w:ascii="標楷體" w:eastAsia="標楷體" w:hAnsi="標楷體" w:hint="eastAsia"/>
                <w:szCs w:val="24"/>
              </w:rPr>
              <w:t xml:space="preserve"> (</w:t>
            </w:r>
            <w:proofErr w:type="gramStart"/>
            <w:r w:rsidR="00024AF3">
              <w:rPr>
                <w:rFonts w:ascii="標楷體" w:eastAsia="標楷體" w:hAnsi="標楷體" w:hint="eastAsia"/>
                <w:szCs w:val="24"/>
              </w:rPr>
              <w:t>含磁相</w:t>
            </w:r>
            <w:proofErr w:type="gramEnd"/>
            <w:r w:rsidR="00024AF3">
              <w:rPr>
                <w:rFonts w:ascii="標楷體" w:eastAsia="標楷體" w:hAnsi="標楷體" w:hint="eastAsia"/>
                <w:szCs w:val="24"/>
              </w:rPr>
              <w:t>、火化棺木</w:t>
            </w:r>
            <w:proofErr w:type="gramStart"/>
            <w:r w:rsidR="00024AF3">
              <w:rPr>
                <w:rFonts w:ascii="標楷體" w:eastAsia="標楷體" w:hAnsi="標楷體" w:hint="eastAsia"/>
                <w:szCs w:val="24"/>
              </w:rPr>
              <w:t>或套棺租用</w:t>
            </w:r>
            <w:proofErr w:type="gramEnd"/>
            <w:r w:rsidR="00024AF3">
              <w:rPr>
                <w:rFonts w:ascii="標楷體" w:eastAsia="標楷體" w:hAnsi="標楷體" w:hint="eastAsia"/>
                <w:szCs w:val="24"/>
              </w:rPr>
              <w:t>費)</w:t>
            </w:r>
          </w:p>
        </w:tc>
        <w:tc>
          <w:tcPr>
            <w:tcW w:w="1576" w:type="dxa"/>
          </w:tcPr>
          <w:p w:rsidR="00CB5A8F" w:rsidRPr="00024AF3" w:rsidRDefault="00024AF3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024AF3" w:rsidP="00CB5A8F">
            <w:pPr>
              <w:rPr>
                <w:rFonts w:ascii="標楷體" w:eastAsia="標楷體" w:hAnsi="標楷體"/>
                <w:szCs w:val="24"/>
              </w:rPr>
            </w:pPr>
            <w:r w:rsidRPr="00024AF3">
              <w:rPr>
                <w:rFonts w:ascii="標楷體" w:eastAsia="標楷體" w:hAnsi="標楷體" w:hint="eastAsia"/>
                <w:szCs w:val="24"/>
              </w:rPr>
              <w:t>法務部標準、強制險標準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2494" w:type="dxa"/>
          </w:tcPr>
          <w:p w:rsidR="00CB5A8F" w:rsidRDefault="00024AF3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骨灰罐封口</w:t>
            </w:r>
          </w:p>
        </w:tc>
        <w:tc>
          <w:tcPr>
            <w:tcW w:w="1576" w:type="dxa"/>
          </w:tcPr>
          <w:p w:rsidR="00CB5A8F" w:rsidRDefault="00024AF3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CB5A8F" w:rsidP="00CB5A8F">
            <w:pPr>
              <w:rPr>
                <w:rFonts w:ascii="標楷體" w:eastAsia="標楷體" w:hAnsi="標楷體"/>
                <w:szCs w:val="24"/>
              </w:rPr>
            </w:pPr>
            <w:r w:rsidRPr="00CB5A8F">
              <w:rPr>
                <w:rFonts w:ascii="標楷體" w:eastAsia="標楷體" w:hAnsi="標楷體" w:hint="eastAsia"/>
                <w:szCs w:val="24"/>
              </w:rPr>
              <w:t>法務部標準、台北市規費、強制險標準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494" w:type="dxa"/>
          </w:tcPr>
          <w:p w:rsidR="00CB5A8F" w:rsidRDefault="00024AF3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靈骨塔位 (含骨灰罐寄存費)</w:t>
            </w:r>
          </w:p>
        </w:tc>
        <w:tc>
          <w:tcPr>
            <w:tcW w:w="1576" w:type="dxa"/>
          </w:tcPr>
          <w:p w:rsidR="00CB5A8F" w:rsidRDefault="00024AF3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024AF3" w:rsidP="00CB5A8F">
            <w:pPr>
              <w:rPr>
                <w:rFonts w:ascii="標楷體" w:eastAsia="標楷體" w:hAnsi="標楷體"/>
                <w:szCs w:val="24"/>
              </w:rPr>
            </w:pPr>
            <w:r w:rsidRPr="00024AF3">
              <w:rPr>
                <w:rFonts w:ascii="標楷體" w:eastAsia="標楷體" w:hAnsi="標楷體" w:hint="eastAsia"/>
                <w:szCs w:val="24"/>
              </w:rPr>
              <w:t>法務部標準、強制險標準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2494" w:type="dxa"/>
          </w:tcPr>
          <w:p w:rsidR="00CB5A8F" w:rsidRDefault="00024AF3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棺木</w:t>
            </w:r>
          </w:p>
        </w:tc>
        <w:tc>
          <w:tcPr>
            <w:tcW w:w="1576" w:type="dxa"/>
          </w:tcPr>
          <w:p w:rsidR="00CB5A8F" w:rsidRDefault="00024AF3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024AF3" w:rsidP="00CB5A8F">
            <w:pPr>
              <w:rPr>
                <w:rFonts w:ascii="標楷體" w:eastAsia="標楷體" w:hAnsi="標楷體"/>
                <w:szCs w:val="24"/>
              </w:rPr>
            </w:pPr>
            <w:r w:rsidRPr="00024AF3">
              <w:rPr>
                <w:rFonts w:ascii="標楷體" w:eastAsia="標楷體" w:hAnsi="標楷體" w:hint="eastAsia"/>
                <w:szCs w:val="24"/>
              </w:rPr>
              <w:t>法務部標準、強制險標準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2494" w:type="dxa"/>
          </w:tcPr>
          <w:p w:rsidR="00CB5A8F" w:rsidRDefault="00024AF3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公墓使用費</w:t>
            </w:r>
          </w:p>
        </w:tc>
        <w:tc>
          <w:tcPr>
            <w:tcW w:w="1576" w:type="dxa"/>
          </w:tcPr>
          <w:p w:rsidR="00CB5A8F" w:rsidRDefault="00024AF3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77000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024AF3" w:rsidP="00CB5A8F">
            <w:pPr>
              <w:rPr>
                <w:rFonts w:ascii="標楷體" w:eastAsia="標楷體" w:hAnsi="標楷體"/>
                <w:szCs w:val="24"/>
              </w:rPr>
            </w:pPr>
            <w:r w:rsidRPr="00024AF3">
              <w:rPr>
                <w:rFonts w:ascii="標楷體" w:eastAsia="標楷體" w:hAnsi="標楷體" w:hint="eastAsia"/>
                <w:szCs w:val="24"/>
              </w:rPr>
              <w:t>法務部標準、強制險標準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2494" w:type="dxa"/>
          </w:tcPr>
          <w:p w:rsidR="00CB5A8F" w:rsidRDefault="00024AF3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營造墳墓 (含土地)</w:t>
            </w:r>
          </w:p>
        </w:tc>
        <w:tc>
          <w:tcPr>
            <w:tcW w:w="1576" w:type="dxa"/>
          </w:tcPr>
          <w:p w:rsidR="00CB5A8F" w:rsidRDefault="00024AF3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60000</w:t>
            </w: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867F0F" w:rsidP="00CB5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強制險</w:t>
            </w:r>
            <w:r w:rsidR="00024AF3" w:rsidRPr="00024AF3">
              <w:rPr>
                <w:rFonts w:ascii="標楷體" w:eastAsia="標楷體" w:hAnsi="標楷體" w:hint="eastAsia"/>
                <w:szCs w:val="24"/>
              </w:rPr>
              <w:t>標</w:t>
            </w:r>
            <w:r w:rsidR="00024AF3">
              <w:rPr>
                <w:rFonts w:ascii="標楷體" w:eastAsia="標楷體" w:hAnsi="標楷體" w:hint="eastAsia"/>
                <w:szCs w:val="24"/>
              </w:rPr>
              <w:t>準</w:t>
            </w: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A8F" w:rsidTr="00495305">
        <w:trPr>
          <w:trHeight w:val="454"/>
        </w:trPr>
        <w:tc>
          <w:tcPr>
            <w:tcW w:w="737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2494" w:type="dxa"/>
          </w:tcPr>
          <w:p w:rsidR="00CB5A8F" w:rsidRDefault="00024AF3" w:rsidP="00024AF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576" w:type="dxa"/>
          </w:tcPr>
          <w:p w:rsidR="00CB5A8F" w:rsidRDefault="00CB5A8F" w:rsidP="00024A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</w:tcPr>
          <w:p w:rsidR="00CB5A8F" w:rsidRDefault="00CB5A8F" w:rsidP="00353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CB5A8F" w:rsidRDefault="00CB5A8F" w:rsidP="00CB5A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5" w:type="dxa"/>
          </w:tcPr>
          <w:p w:rsidR="00CB5A8F" w:rsidRPr="00495305" w:rsidRDefault="00CB5A8F" w:rsidP="004953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5305" w:rsidRDefault="00024AF3" w:rsidP="00495305">
      <w:pPr>
        <w:rPr>
          <w:rFonts w:ascii="標楷體" w:eastAsia="標楷體" w:hAnsi="標楷體"/>
          <w:szCs w:val="24"/>
        </w:rPr>
      </w:pPr>
      <w:r w:rsidRPr="00024AF3">
        <w:rPr>
          <w:rFonts w:ascii="標楷體" w:eastAsia="標楷體" w:hAnsi="標楷體" w:hint="eastAsia"/>
          <w:szCs w:val="24"/>
        </w:rPr>
        <w:t>說明：</w:t>
      </w:r>
    </w:p>
    <w:p w:rsidR="00024AF3" w:rsidRDefault="00024AF3" w:rsidP="0049530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一、本表僅供參考，實際補償金額由犯罪被害人補償審議委員會依具體個案決定。</w:t>
      </w:r>
    </w:p>
    <w:p w:rsidR="00894D74" w:rsidRPr="00894D74" w:rsidRDefault="000B2AB1" w:rsidP="00894D74">
      <w:pPr>
        <w:spacing w:line="360" w:lineRule="exact"/>
        <w:ind w:left="60"/>
        <w:rPr>
          <w:rFonts w:ascii="Calibri" w:eastAsia="SimSun" w:hAnsi="Calibri" w:cs="Times New Roman"/>
          <w:sz w:val="21"/>
          <w:lang w:eastAsia="zh-CN"/>
        </w:rPr>
      </w:pPr>
      <w:r>
        <w:rPr>
          <w:rFonts w:ascii="標楷體" w:eastAsia="標楷體" w:hAnsi="標楷體" w:hint="eastAsia"/>
          <w:szCs w:val="24"/>
        </w:rPr>
        <w:t>二、被害人死亡所支出之殯葬費最高三十萬元。殯葬費係指收斂及埋葬費用而言，此等費用是否必要，應參酌被害人當地之喪禮習俗、宗教上之儀式、被害人</w:t>
      </w:r>
      <w:r w:rsidR="00867F0F"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 w:hint="eastAsia"/>
          <w:szCs w:val="24"/>
        </w:rPr>
        <w:t>身分、社會地位及生前經濟情況定之。再按可請求項目，參酌最高法院七十年至八十八年間民事賠償案件有關</w:t>
      </w:r>
      <w:r w:rsidR="00867F0F">
        <w:rPr>
          <w:rFonts w:ascii="標楷體" w:eastAsia="標楷體" w:hAnsi="標楷體" w:hint="eastAsia"/>
          <w:szCs w:val="24"/>
        </w:rPr>
        <w:t>殯</w:t>
      </w:r>
      <w:r>
        <w:rPr>
          <w:rFonts w:ascii="標楷體" w:eastAsia="標楷體" w:hAnsi="標楷體" w:hint="eastAsia"/>
          <w:szCs w:val="24"/>
        </w:rPr>
        <w:t>葬費之裁判，經整理歸納：棺木、骨灰罐 (含磁相、封口)、靈車、扶工、入殮及化妝、營造墳墓或靈骨塔位、紙錢、壽衣、靈堂布置 (含鮮花) 及司儀、誦經或證 (講) 道、麻孝服、樂隊、壽內用品及遺體保存費等為必要之費用；另參照法務部九十年五月二日法九十保字第</w:t>
      </w:r>
      <w:r w:rsidRPr="000B2AB1">
        <w:rPr>
          <w:rFonts w:ascii="標楷體" w:eastAsia="SimSun" w:hAnsi="標楷體" w:cs="標楷體"/>
          <w:noProof/>
          <w:color w:val="000000"/>
          <w:lang w:eastAsia="zh-CN"/>
        </w:rPr>
        <w:t>○○○</w:t>
      </w:r>
      <w:r w:rsidRPr="000B2AB1">
        <w:rPr>
          <w:rFonts w:ascii="標楷體" w:eastAsia="標楷體" w:hAnsi="標楷體" w:cs="標楷體" w:hint="eastAsia"/>
          <w:noProof/>
          <w:color w:val="000000"/>
        </w:rPr>
        <w:t>二六九</w:t>
      </w:r>
      <w:r>
        <w:rPr>
          <w:rFonts w:ascii="標楷體" w:eastAsia="標楷體" w:hAnsi="標楷體" w:cs="標楷體" w:hint="eastAsia"/>
          <w:noProof/>
          <w:color w:val="000000"/>
        </w:rPr>
        <w:t>號函指示各犯罪被害人補償審議</w:t>
      </w:r>
      <w:r w:rsidR="00894D74">
        <w:rPr>
          <w:rFonts w:ascii="標楷體" w:eastAsia="標楷體" w:hAnsi="標楷體" w:cs="標楷體" w:hint="eastAsia"/>
          <w:noProof/>
          <w:color w:val="000000"/>
        </w:rPr>
        <w:t>委員會及覆審委員會審核殯葬費時，應參考該部於九十年三月一日開會通過之「犯罪被害人補償事件殯葬費項目金額參考表」，並參酌被害人當地之喪禮習俗等，以及公立殯葬管理單位服務收費標準於三十萬元內酌定之。</w:t>
      </w:r>
      <w:r w:rsidR="00894D74" w:rsidRPr="00894D74">
        <w:rPr>
          <w:rFonts w:ascii="標楷體" w:eastAsia="SimSun" w:hAnsi="標楷體" w:cs="標楷體"/>
          <w:noProof/>
          <w:color w:val="000000"/>
          <w:spacing w:val="-14"/>
          <w:lang w:eastAsia="zh-CN"/>
        </w:rPr>
        <w:t>（</w:t>
      </w:r>
      <w:r w:rsidR="00894D74" w:rsidRPr="00894D74">
        <w:rPr>
          <w:rFonts w:ascii="標楷體" w:eastAsia="SimSun" w:hAnsi="標楷體" w:cs="標楷體"/>
          <w:noProof/>
          <w:color w:val="0000FF"/>
          <w:lang w:eastAsia="zh-CN"/>
        </w:rPr>
        <w:t>http://www.tpc.moj.gov.tw/ct.asp?xItem=18761&amp;ctNode=5320&amp;mp=009</w:t>
      </w:r>
      <w:r w:rsidR="00894D74" w:rsidRPr="00894D74">
        <w:rPr>
          <w:rFonts w:ascii="標楷體" w:eastAsia="標楷體" w:hAnsi="標楷體" w:cs="標楷體"/>
          <w:noProof/>
          <w:color w:val="000000"/>
          <w:lang w:eastAsia="zh-CN"/>
        </w:rPr>
        <w:t>）</w:t>
      </w:r>
    </w:p>
    <w:sectPr w:rsidR="00894D74" w:rsidRPr="00894D74" w:rsidSect="00D6288C">
      <w:pgSz w:w="16838" w:h="11906" w:orient="landscape"/>
      <w:pgMar w:top="1701" w:right="1440" w:bottom="170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05"/>
    <w:rsid w:val="00016969"/>
    <w:rsid w:val="00017F6B"/>
    <w:rsid w:val="00020A40"/>
    <w:rsid w:val="00023EF6"/>
    <w:rsid w:val="00024AF3"/>
    <w:rsid w:val="00046A3B"/>
    <w:rsid w:val="00050991"/>
    <w:rsid w:val="00055440"/>
    <w:rsid w:val="00067C79"/>
    <w:rsid w:val="00075047"/>
    <w:rsid w:val="00082152"/>
    <w:rsid w:val="00086344"/>
    <w:rsid w:val="00087465"/>
    <w:rsid w:val="00087ACC"/>
    <w:rsid w:val="00093DBA"/>
    <w:rsid w:val="000A002E"/>
    <w:rsid w:val="000A520E"/>
    <w:rsid w:val="000B034A"/>
    <w:rsid w:val="000B2AB1"/>
    <w:rsid w:val="000C375F"/>
    <w:rsid w:val="000C584F"/>
    <w:rsid w:val="000E6EEC"/>
    <w:rsid w:val="000F0D67"/>
    <w:rsid w:val="000F61EC"/>
    <w:rsid w:val="001050F8"/>
    <w:rsid w:val="00114F9F"/>
    <w:rsid w:val="0012302F"/>
    <w:rsid w:val="00130EB0"/>
    <w:rsid w:val="001468B8"/>
    <w:rsid w:val="001512A9"/>
    <w:rsid w:val="0015388D"/>
    <w:rsid w:val="00154612"/>
    <w:rsid w:val="00157406"/>
    <w:rsid w:val="00161835"/>
    <w:rsid w:val="00163B81"/>
    <w:rsid w:val="00176FDD"/>
    <w:rsid w:val="0018181B"/>
    <w:rsid w:val="001827E8"/>
    <w:rsid w:val="001830AC"/>
    <w:rsid w:val="0019218D"/>
    <w:rsid w:val="001A78CA"/>
    <w:rsid w:val="001B1E99"/>
    <w:rsid w:val="001B5B57"/>
    <w:rsid w:val="00203DFB"/>
    <w:rsid w:val="0021771E"/>
    <w:rsid w:val="00221FAC"/>
    <w:rsid w:val="00222512"/>
    <w:rsid w:val="002419FA"/>
    <w:rsid w:val="002505E5"/>
    <w:rsid w:val="0025719B"/>
    <w:rsid w:val="00272DF0"/>
    <w:rsid w:val="00277461"/>
    <w:rsid w:val="002832A1"/>
    <w:rsid w:val="0028592F"/>
    <w:rsid w:val="0028734F"/>
    <w:rsid w:val="002A10B0"/>
    <w:rsid w:val="002A76E6"/>
    <w:rsid w:val="002C067C"/>
    <w:rsid w:val="002C47C7"/>
    <w:rsid w:val="002C4AA9"/>
    <w:rsid w:val="002D69BB"/>
    <w:rsid w:val="002E435C"/>
    <w:rsid w:val="002F72FD"/>
    <w:rsid w:val="003037A7"/>
    <w:rsid w:val="00304628"/>
    <w:rsid w:val="0030670B"/>
    <w:rsid w:val="00312D04"/>
    <w:rsid w:val="00314B5E"/>
    <w:rsid w:val="00326EF6"/>
    <w:rsid w:val="0034323B"/>
    <w:rsid w:val="00344051"/>
    <w:rsid w:val="003524F2"/>
    <w:rsid w:val="00356E41"/>
    <w:rsid w:val="00363ABC"/>
    <w:rsid w:val="003750C6"/>
    <w:rsid w:val="0038508E"/>
    <w:rsid w:val="00390058"/>
    <w:rsid w:val="003A6CE4"/>
    <w:rsid w:val="003B0DD8"/>
    <w:rsid w:val="003B1DCA"/>
    <w:rsid w:val="003B3179"/>
    <w:rsid w:val="003C6DEB"/>
    <w:rsid w:val="003D0E16"/>
    <w:rsid w:val="003E289C"/>
    <w:rsid w:val="003E2C27"/>
    <w:rsid w:val="003F68C8"/>
    <w:rsid w:val="004065D7"/>
    <w:rsid w:val="0042310B"/>
    <w:rsid w:val="00424DEB"/>
    <w:rsid w:val="00433974"/>
    <w:rsid w:val="00434336"/>
    <w:rsid w:val="00441B45"/>
    <w:rsid w:val="00441E14"/>
    <w:rsid w:val="00445E8E"/>
    <w:rsid w:val="004549F2"/>
    <w:rsid w:val="004563BE"/>
    <w:rsid w:val="00463598"/>
    <w:rsid w:val="004666A1"/>
    <w:rsid w:val="004670BF"/>
    <w:rsid w:val="004805F2"/>
    <w:rsid w:val="0048321F"/>
    <w:rsid w:val="0048334E"/>
    <w:rsid w:val="0049432A"/>
    <w:rsid w:val="00495305"/>
    <w:rsid w:val="004B1F46"/>
    <w:rsid w:val="004C06E0"/>
    <w:rsid w:val="004E3826"/>
    <w:rsid w:val="004F3633"/>
    <w:rsid w:val="004F3FD1"/>
    <w:rsid w:val="004F7CF7"/>
    <w:rsid w:val="00500610"/>
    <w:rsid w:val="005018EF"/>
    <w:rsid w:val="00505A67"/>
    <w:rsid w:val="0052551E"/>
    <w:rsid w:val="005276C3"/>
    <w:rsid w:val="00550F59"/>
    <w:rsid w:val="005560F6"/>
    <w:rsid w:val="00562814"/>
    <w:rsid w:val="005641A6"/>
    <w:rsid w:val="005659ED"/>
    <w:rsid w:val="00573F34"/>
    <w:rsid w:val="00583DF5"/>
    <w:rsid w:val="005913CC"/>
    <w:rsid w:val="00591E77"/>
    <w:rsid w:val="00594110"/>
    <w:rsid w:val="00596E56"/>
    <w:rsid w:val="005A17FB"/>
    <w:rsid w:val="005A639E"/>
    <w:rsid w:val="005A68BE"/>
    <w:rsid w:val="005B00A9"/>
    <w:rsid w:val="005C116A"/>
    <w:rsid w:val="005D35A2"/>
    <w:rsid w:val="005E3D45"/>
    <w:rsid w:val="005F2772"/>
    <w:rsid w:val="005F51DD"/>
    <w:rsid w:val="005F6E57"/>
    <w:rsid w:val="00604F3C"/>
    <w:rsid w:val="006118B1"/>
    <w:rsid w:val="006127A9"/>
    <w:rsid w:val="00615797"/>
    <w:rsid w:val="00615BB2"/>
    <w:rsid w:val="006164DF"/>
    <w:rsid w:val="00617303"/>
    <w:rsid w:val="006200D9"/>
    <w:rsid w:val="00621B0F"/>
    <w:rsid w:val="00625F6D"/>
    <w:rsid w:val="00633FF7"/>
    <w:rsid w:val="00637AF0"/>
    <w:rsid w:val="006405E1"/>
    <w:rsid w:val="00647AFC"/>
    <w:rsid w:val="006553D1"/>
    <w:rsid w:val="0065546D"/>
    <w:rsid w:val="00667911"/>
    <w:rsid w:val="00675EC2"/>
    <w:rsid w:val="00676B68"/>
    <w:rsid w:val="00676DDF"/>
    <w:rsid w:val="006817B1"/>
    <w:rsid w:val="0068452D"/>
    <w:rsid w:val="006916D9"/>
    <w:rsid w:val="00697980"/>
    <w:rsid w:val="006A1659"/>
    <w:rsid w:val="006B2117"/>
    <w:rsid w:val="006B6F8B"/>
    <w:rsid w:val="006C0FFD"/>
    <w:rsid w:val="006C3897"/>
    <w:rsid w:val="006C6750"/>
    <w:rsid w:val="006D52D1"/>
    <w:rsid w:val="006E60AC"/>
    <w:rsid w:val="006F5C99"/>
    <w:rsid w:val="006F60B7"/>
    <w:rsid w:val="00700844"/>
    <w:rsid w:val="00701669"/>
    <w:rsid w:val="007055E9"/>
    <w:rsid w:val="007206E5"/>
    <w:rsid w:val="00732732"/>
    <w:rsid w:val="00741C7F"/>
    <w:rsid w:val="00744894"/>
    <w:rsid w:val="00745AD5"/>
    <w:rsid w:val="007477BA"/>
    <w:rsid w:val="007525A2"/>
    <w:rsid w:val="00755494"/>
    <w:rsid w:val="00764011"/>
    <w:rsid w:val="0076630C"/>
    <w:rsid w:val="00766601"/>
    <w:rsid w:val="00767E9E"/>
    <w:rsid w:val="00771883"/>
    <w:rsid w:val="0077414E"/>
    <w:rsid w:val="00782147"/>
    <w:rsid w:val="00783269"/>
    <w:rsid w:val="007B206A"/>
    <w:rsid w:val="007B36A0"/>
    <w:rsid w:val="007B4FC7"/>
    <w:rsid w:val="007C27E7"/>
    <w:rsid w:val="007D6458"/>
    <w:rsid w:val="007E2867"/>
    <w:rsid w:val="007E54DD"/>
    <w:rsid w:val="007F3044"/>
    <w:rsid w:val="007F69B5"/>
    <w:rsid w:val="008146AD"/>
    <w:rsid w:val="00816C87"/>
    <w:rsid w:val="008257D3"/>
    <w:rsid w:val="008302E5"/>
    <w:rsid w:val="0084316E"/>
    <w:rsid w:val="008534D2"/>
    <w:rsid w:val="008639C0"/>
    <w:rsid w:val="00863FD3"/>
    <w:rsid w:val="00864A3E"/>
    <w:rsid w:val="00867F0F"/>
    <w:rsid w:val="0088375C"/>
    <w:rsid w:val="00884558"/>
    <w:rsid w:val="00894D74"/>
    <w:rsid w:val="008B3881"/>
    <w:rsid w:val="008B6502"/>
    <w:rsid w:val="008C2A0A"/>
    <w:rsid w:val="008C398D"/>
    <w:rsid w:val="008D1D3E"/>
    <w:rsid w:val="008D2873"/>
    <w:rsid w:val="008D2DE8"/>
    <w:rsid w:val="008D3E2D"/>
    <w:rsid w:val="008D667C"/>
    <w:rsid w:val="008D777E"/>
    <w:rsid w:val="008E1C77"/>
    <w:rsid w:val="008E2352"/>
    <w:rsid w:val="008F0F24"/>
    <w:rsid w:val="008F5BE1"/>
    <w:rsid w:val="00906DFB"/>
    <w:rsid w:val="00917EDD"/>
    <w:rsid w:val="00940526"/>
    <w:rsid w:val="00942D55"/>
    <w:rsid w:val="00945578"/>
    <w:rsid w:val="00947CE4"/>
    <w:rsid w:val="00950664"/>
    <w:rsid w:val="0096224B"/>
    <w:rsid w:val="00967F45"/>
    <w:rsid w:val="0097486B"/>
    <w:rsid w:val="009774D3"/>
    <w:rsid w:val="0098481F"/>
    <w:rsid w:val="00986AAF"/>
    <w:rsid w:val="0099289A"/>
    <w:rsid w:val="009954A6"/>
    <w:rsid w:val="0099612D"/>
    <w:rsid w:val="00996BEF"/>
    <w:rsid w:val="009A4E6C"/>
    <w:rsid w:val="009B2B5C"/>
    <w:rsid w:val="009B2F9F"/>
    <w:rsid w:val="009B421B"/>
    <w:rsid w:val="009D25AB"/>
    <w:rsid w:val="009E1517"/>
    <w:rsid w:val="009E1575"/>
    <w:rsid w:val="009F13BB"/>
    <w:rsid w:val="009F19BE"/>
    <w:rsid w:val="009F2B94"/>
    <w:rsid w:val="009F3E56"/>
    <w:rsid w:val="00A002A0"/>
    <w:rsid w:val="00A0332C"/>
    <w:rsid w:val="00A136C0"/>
    <w:rsid w:val="00A14DD9"/>
    <w:rsid w:val="00A1576A"/>
    <w:rsid w:val="00A334ED"/>
    <w:rsid w:val="00A4021E"/>
    <w:rsid w:val="00A404F6"/>
    <w:rsid w:val="00A55960"/>
    <w:rsid w:val="00A619D6"/>
    <w:rsid w:val="00A66911"/>
    <w:rsid w:val="00A67F3F"/>
    <w:rsid w:val="00A71F70"/>
    <w:rsid w:val="00A8118F"/>
    <w:rsid w:val="00A818A3"/>
    <w:rsid w:val="00A83205"/>
    <w:rsid w:val="00A85AF9"/>
    <w:rsid w:val="00A86EC3"/>
    <w:rsid w:val="00A87452"/>
    <w:rsid w:val="00A92137"/>
    <w:rsid w:val="00A950CD"/>
    <w:rsid w:val="00AA0447"/>
    <w:rsid w:val="00AA357D"/>
    <w:rsid w:val="00AA4947"/>
    <w:rsid w:val="00AB4D44"/>
    <w:rsid w:val="00AD0F85"/>
    <w:rsid w:val="00AD58AB"/>
    <w:rsid w:val="00AE5685"/>
    <w:rsid w:val="00B0202C"/>
    <w:rsid w:val="00B040E3"/>
    <w:rsid w:val="00B06FA8"/>
    <w:rsid w:val="00B11653"/>
    <w:rsid w:val="00B41714"/>
    <w:rsid w:val="00B62A34"/>
    <w:rsid w:val="00B6588E"/>
    <w:rsid w:val="00B6601E"/>
    <w:rsid w:val="00B75175"/>
    <w:rsid w:val="00B90289"/>
    <w:rsid w:val="00B92F51"/>
    <w:rsid w:val="00BA55B1"/>
    <w:rsid w:val="00BA673F"/>
    <w:rsid w:val="00BB16EE"/>
    <w:rsid w:val="00BB455D"/>
    <w:rsid w:val="00BC3B60"/>
    <w:rsid w:val="00BC5D7A"/>
    <w:rsid w:val="00BC7367"/>
    <w:rsid w:val="00BD6942"/>
    <w:rsid w:val="00BE113F"/>
    <w:rsid w:val="00BE167A"/>
    <w:rsid w:val="00C0262B"/>
    <w:rsid w:val="00C13EC1"/>
    <w:rsid w:val="00C17194"/>
    <w:rsid w:val="00C22324"/>
    <w:rsid w:val="00C2395A"/>
    <w:rsid w:val="00C24E0D"/>
    <w:rsid w:val="00C269CD"/>
    <w:rsid w:val="00C37BD3"/>
    <w:rsid w:val="00C42517"/>
    <w:rsid w:val="00C52B6B"/>
    <w:rsid w:val="00C6141E"/>
    <w:rsid w:val="00C64221"/>
    <w:rsid w:val="00C7436E"/>
    <w:rsid w:val="00C80F0C"/>
    <w:rsid w:val="00C86BB1"/>
    <w:rsid w:val="00C922FB"/>
    <w:rsid w:val="00CB1652"/>
    <w:rsid w:val="00CB2E31"/>
    <w:rsid w:val="00CB5A8F"/>
    <w:rsid w:val="00CC1730"/>
    <w:rsid w:val="00CC5AC3"/>
    <w:rsid w:val="00CD5188"/>
    <w:rsid w:val="00CE063A"/>
    <w:rsid w:val="00CF22C8"/>
    <w:rsid w:val="00D04ED0"/>
    <w:rsid w:val="00D13B4D"/>
    <w:rsid w:val="00D1411E"/>
    <w:rsid w:val="00D235CB"/>
    <w:rsid w:val="00D32A88"/>
    <w:rsid w:val="00D35B85"/>
    <w:rsid w:val="00D3615A"/>
    <w:rsid w:val="00D52055"/>
    <w:rsid w:val="00D554F0"/>
    <w:rsid w:val="00D6265A"/>
    <w:rsid w:val="00D6288C"/>
    <w:rsid w:val="00D67221"/>
    <w:rsid w:val="00D711E2"/>
    <w:rsid w:val="00D72CDE"/>
    <w:rsid w:val="00D74642"/>
    <w:rsid w:val="00D805DB"/>
    <w:rsid w:val="00D909DC"/>
    <w:rsid w:val="00D942F0"/>
    <w:rsid w:val="00D958D7"/>
    <w:rsid w:val="00D95EBC"/>
    <w:rsid w:val="00D96D30"/>
    <w:rsid w:val="00DA088B"/>
    <w:rsid w:val="00DA496B"/>
    <w:rsid w:val="00DA7CD0"/>
    <w:rsid w:val="00DB21C8"/>
    <w:rsid w:val="00DD1747"/>
    <w:rsid w:val="00DD3DB6"/>
    <w:rsid w:val="00DD52CD"/>
    <w:rsid w:val="00DE2F50"/>
    <w:rsid w:val="00DE3FCD"/>
    <w:rsid w:val="00DF7640"/>
    <w:rsid w:val="00DF7B48"/>
    <w:rsid w:val="00E27D8F"/>
    <w:rsid w:val="00E47FBD"/>
    <w:rsid w:val="00E50246"/>
    <w:rsid w:val="00E563CD"/>
    <w:rsid w:val="00E57DE8"/>
    <w:rsid w:val="00E65260"/>
    <w:rsid w:val="00E67744"/>
    <w:rsid w:val="00E878C7"/>
    <w:rsid w:val="00E9556B"/>
    <w:rsid w:val="00E97FF6"/>
    <w:rsid w:val="00EB421F"/>
    <w:rsid w:val="00EB5A02"/>
    <w:rsid w:val="00EB6F8D"/>
    <w:rsid w:val="00EC168A"/>
    <w:rsid w:val="00ED0E09"/>
    <w:rsid w:val="00ED2B65"/>
    <w:rsid w:val="00ED3307"/>
    <w:rsid w:val="00ED62F6"/>
    <w:rsid w:val="00EE1A0A"/>
    <w:rsid w:val="00EE2EFB"/>
    <w:rsid w:val="00EE679A"/>
    <w:rsid w:val="00EF33EB"/>
    <w:rsid w:val="00EF5502"/>
    <w:rsid w:val="00EF7632"/>
    <w:rsid w:val="00F134E7"/>
    <w:rsid w:val="00F16926"/>
    <w:rsid w:val="00F179EE"/>
    <w:rsid w:val="00F308AD"/>
    <w:rsid w:val="00F36E54"/>
    <w:rsid w:val="00F4346E"/>
    <w:rsid w:val="00F43A85"/>
    <w:rsid w:val="00F54992"/>
    <w:rsid w:val="00F556F2"/>
    <w:rsid w:val="00F6553A"/>
    <w:rsid w:val="00F67914"/>
    <w:rsid w:val="00F71E04"/>
    <w:rsid w:val="00F761D2"/>
    <w:rsid w:val="00F80FEE"/>
    <w:rsid w:val="00F811A3"/>
    <w:rsid w:val="00F81C48"/>
    <w:rsid w:val="00F8397F"/>
    <w:rsid w:val="00F86DA7"/>
    <w:rsid w:val="00FA1727"/>
    <w:rsid w:val="00FA4A94"/>
    <w:rsid w:val="00FA600A"/>
    <w:rsid w:val="00FB5A9B"/>
    <w:rsid w:val="00FD0F14"/>
    <w:rsid w:val="00FD1F52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DF620-D91B-4B86-BF0A-86B87C94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5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侯雅芬</dc:creator>
  <cp:lastModifiedBy>吳美蓉</cp:lastModifiedBy>
  <cp:revision>4</cp:revision>
  <cp:lastPrinted>2019-10-24T00:51:00Z</cp:lastPrinted>
  <dcterms:created xsi:type="dcterms:W3CDTF">2019-10-24T00:53:00Z</dcterms:created>
  <dcterms:modified xsi:type="dcterms:W3CDTF">2021-10-19T02:37:00Z</dcterms:modified>
</cp:coreProperties>
</file>